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7C" w:rsidRPr="00AF3E7C" w:rsidRDefault="007E23C7" w:rsidP="00AF3E7C">
      <w:pPr>
        <w:snapToGrid w:val="0"/>
        <w:spacing w:line="320" w:lineRule="atLeast"/>
        <w:jc w:val="both"/>
        <w:rPr>
          <w:rFonts w:asciiTheme="minorHAnsi" w:hAnsiTheme="minorHAnsi" w:cstheme="minorHAnsi"/>
          <w:b/>
          <w:bCs/>
          <w:sz w:val="24"/>
          <w:szCs w:val="24"/>
        </w:rPr>
      </w:pPr>
      <w:r w:rsidRPr="00AF3E7C">
        <w:rPr>
          <w:rFonts w:asciiTheme="minorHAnsi" w:hAnsiTheme="minorHAnsi" w:cstheme="minorHAnsi"/>
          <w:b/>
          <w:color w:val="000000" w:themeColor="text1"/>
          <w:sz w:val="24"/>
          <w:szCs w:val="24"/>
        </w:rPr>
        <w:t xml:space="preserve">Title: </w:t>
      </w:r>
      <w:r w:rsidR="00AF3E7C" w:rsidRPr="00AF3E7C">
        <w:rPr>
          <w:rFonts w:asciiTheme="minorHAnsi" w:hAnsiTheme="minorHAnsi" w:cstheme="minorHAnsi"/>
          <w:b/>
          <w:bCs/>
          <w:sz w:val="24"/>
          <w:szCs w:val="24"/>
        </w:rPr>
        <w:t>Tenured or Tenure-Track Faculty Positions Available (Expertise on Electrical Engineering for Energy System Integration), Department of Engineering and System Science, National Tsing Hua University</w:t>
      </w:r>
    </w:p>
    <w:p w:rsidR="00AF3E7C" w:rsidRDefault="00AF3E7C" w:rsidP="00AF3E7C">
      <w:pPr>
        <w:snapToGrid w:val="0"/>
        <w:spacing w:line="320" w:lineRule="atLeast"/>
        <w:jc w:val="both"/>
        <w:rPr>
          <w:rFonts w:ascii="標楷體" w:eastAsia="標楷體" w:hAnsi="標楷體"/>
          <w:b/>
          <w:color w:val="auto"/>
          <w:sz w:val="24"/>
          <w:szCs w:val="24"/>
        </w:rPr>
      </w:pPr>
    </w:p>
    <w:p w:rsidR="007E23C7" w:rsidRPr="00AF3E7C" w:rsidRDefault="007E23C7" w:rsidP="00AF3E7C">
      <w:pPr>
        <w:snapToGrid w:val="0"/>
        <w:spacing w:line="320" w:lineRule="atLeast"/>
        <w:jc w:val="both"/>
        <w:rPr>
          <w:rFonts w:ascii="標楷體" w:eastAsia="標楷體" w:hAnsi="標楷體"/>
          <w:b/>
          <w:color w:val="auto"/>
          <w:sz w:val="24"/>
          <w:szCs w:val="24"/>
        </w:rPr>
      </w:pPr>
      <w:r w:rsidRPr="00AF3E7C">
        <w:rPr>
          <w:rFonts w:ascii="標楷體" w:eastAsia="標楷體" w:hAnsi="標楷體" w:hint="eastAsia"/>
          <w:b/>
          <w:color w:val="auto"/>
          <w:sz w:val="24"/>
          <w:szCs w:val="24"/>
        </w:rPr>
        <w:t>國立清華大學工程與系統科學系誠徵</w:t>
      </w:r>
      <w:r w:rsidR="00AF3E7C" w:rsidRPr="00AF3E7C">
        <w:rPr>
          <w:rFonts w:ascii="標楷體" w:eastAsia="標楷體" w:hAnsi="標楷體" w:hint="eastAsia"/>
          <w:b/>
          <w:color w:val="auto"/>
          <w:sz w:val="24"/>
          <w:szCs w:val="24"/>
        </w:rPr>
        <w:t>電機工程專長(能源系統整合)之專任教師</w:t>
      </w:r>
    </w:p>
    <w:p w:rsidR="00DF6BA4" w:rsidRPr="00C7342D" w:rsidRDefault="00DF6BA4" w:rsidP="00DF6BA4">
      <w:pPr>
        <w:snapToGrid w:val="0"/>
        <w:spacing w:line="360" w:lineRule="auto"/>
        <w:jc w:val="both"/>
        <w:rPr>
          <w:rFonts w:ascii="Calibri" w:hAnsi="Calibri"/>
          <w:color w:val="000000" w:themeColor="text1"/>
          <w:sz w:val="24"/>
        </w:rPr>
      </w:pPr>
    </w:p>
    <w:p w:rsidR="006A6112" w:rsidRPr="003C49F3" w:rsidRDefault="00217A32" w:rsidP="00DF6BA4">
      <w:pPr>
        <w:snapToGrid w:val="0"/>
        <w:spacing w:line="360" w:lineRule="auto"/>
        <w:jc w:val="both"/>
        <w:rPr>
          <w:rFonts w:ascii="Calibri" w:hAnsi="Calibri"/>
          <w:color w:val="000000" w:themeColor="text1"/>
          <w:sz w:val="24"/>
          <w:szCs w:val="24"/>
        </w:rPr>
      </w:pPr>
      <w:r w:rsidRPr="003C49F3">
        <w:rPr>
          <w:rFonts w:ascii="Calibri" w:hAnsi="Calibri"/>
          <w:color w:val="000000" w:themeColor="text1"/>
          <w:sz w:val="24"/>
          <w:szCs w:val="24"/>
        </w:rPr>
        <w:t xml:space="preserve">The </w:t>
      </w:r>
      <w:r w:rsidR="006A0FCA" w:rsidRPr="003C49F3">
        <w:rPr>
          <w:rFonts w:ascii="Calibri" w:hAnsi="Calibri"/>
          <w:color w:val="000000" w:themeColor="text1"/>
          <w:sz w:val="24"/>
          <w:szCs w:val="24"/>
        </w:rPr>
        <w:t>Department of Engineering and System Science</w:t>
      </w:r>
      <w:r w:rsidRPr="003C49F3">
        <w:rPr>
          <w:rFonts w:ascii="Calibri" w:hAnsi="Calibri"/>
          <w:color w:val="000000" w:themeColor="text1"/>
          <w:sz w:val="24"/>
          <w:szCs w:val="24"/>
        </w:rPr>
        <w:t xml:space="preserve"> at</w:t>
      </w:r>
      <w:r w:rsidR="006A0FCA" w:rsidRPr="003C49F3">
        <w:rPr>
          <w:rFonts w:ascii="Calibri" w:hAnsi="Calibri"/>
          <w:color w:val="000000" w:themeColor="text1"/>
          <w:sz w:val="24"/>
          <w:szCs w:val="24"/>
        </w:rPr>
        <w:t xml:space="preserve"> National Tsing Hua University</w:t>
      </w:r>
      <w:r w:rsidR="008E541B" w:rsidRPr="003C49F3">
        <w:rPr>
          <w:rFonts w:ascii="Calibri" w:hAnsi="Calibri"/>
          <w:color w:val="000000" w:themeColor="text1"/>
          <w:sz w:val="24"/>
          <w:szCs w:val="24"/>
        </w:rPr>
        <w:t xml:space="preserve"> (NTHU)</w:t>
      </w:r>
      <w:r w:rsidR="006A0FCA" w:rsidRPr="003C49F3">
        <w:rPr>
          <w:rFonts w:ascii="Calibri" w:hAnsi="Calibri"/>
          <w:color w:val="000000" w:themeColor="text1"/>
          <w:sz w:val="24"/>
          <w:szCs w:val="24"/>
        </w:rPr>
        <w:t xml:space="preserve">, Taiwan, </w:t>
      </w:r>
      <w:r w:rsidR="002E33C7" w:rsidRPr="003C49F3">
        <w:rPr>
          <w:rFonts w:ascii="Calibri" w:hAnsi="Calibri"/>
          <w:color w:val="000000" w:themeColor="text1"/>
          <w:sz w:val="24"/>
          <w:szCs w:val="24"/>
        </w:rPr>
        <w:t>invites applications for tenured or tenure</w:t>
      </w:r>
      <w:r w:rsidRPr="003C49F3">
        <w:rPr>
          <w:rFonts w:ascii="Calibri" w:hAnsi="Calibri"/>
          <w:color w:val="000000" w:themeColor="text1"/>
          <w:sz w:val="24"/>
          <w:szCs w:val="24"/>
        </w:rPr>
        <w:t>-</w:t>
      </w:r>
      <w:r w:rsidR="002E33C7" w:rsidRPr="003C49F3">
        <w:rPr>
          <w:rFonts w:ascii="Calibri" w:hAnsi="Calibri"/>
          <w:color w:val="000000" w:themeColor="text1"/>
          <w:sz w:val="24"/>
          <w:szCs w:val="24"/>
        </w:rPr>
        <w:t>track faculty position</w:t>
      </w:r>
      <w:r w:rsidR="00BC623B" w:rsidRPr="003C49F3">
        <w:rPr>
          <w:rFonts w:ascii="Calibri" w:hAnsi="Calibri" w:hint="eastAsia"/>
          <w:color w:val="000000" w:themeColor="text1"/>
          <w:sz w:val="24"/>
          <w:szCs w:val="24"/>
        </w:rPr>
        <w:t>s</w:t>
      </w:r>
      <w:r w:rsidR="00161DD9" w:rsidRPr="003C49F3">
        <w:rPr>
          <w:rFonts w:ascii="Calibri" w:hAnsi="Calibri"/>
          <w:color w:val="000000" w:themeColor="text1"/>
          <w:sz w:val="24"/>
          <w:szCs w:val="24"/>
        </w:rPr>
        <w:t xml:space="preserve"> </w:t>
      </w:r>
      <w:r w:rsidR="006A0FCA" w:rsidRPr="003C49F3">
        <w:rPr>
          <w:rFonts w:ascii="Calibri" w:hAnsi="Calibri"/>
          <w:color w:val="000000" w:themeColor="text1"/>
          <w:sz w:val="24"/>
          <w:szCs w:val="24"/>
        </w:rPr>
        <w:t xml:space="preserve">in </w:t>
      </w:r>
      <w:r w:rsidR="00161DD9" w:rsidRPr="003C49F3">
        <w:rPr>
          <w:rFonts w:ascii="Calibri" w:hAnsi="Calibri"/>
          <w:color w:val="000000" w:themeColor="text1"/>
          <w:sz w:val="24"/>
          <w:szCs w:val="24"/>
        </w:rPr>
        <w:t xml:space="preserve">the research </w:t>
      </w:r>
      <w:r w:rsidR="001F6BD9" w:rsidRPr="003C49F3">
        <w:rPr>
          <w:rFonts w:ascii="Calibri" w:hAnsi="Calibri"/>
          <w:color w:val="000000" w:themeColor="text1"/>
          <w:sz w:val="24"/>
          <w:szCs w:val="24"/>
        </w:rPr>
        <w:t>area</w:t>
      </w:r>
      <w:r w:rsidR="00BC623B" w:rsidRPr="003C49F3">
        <w:rPr>
          <w:rFonts w:ascii="Calibri" w:hAnsi="Calibri" w:hint="eastAsia"/>
          <w:color w:val="000000" w:themeColor="text1"/>
          <w:sz w:val="24"/>
          <w:szCs w:val="24"/>
        </w:rPr>
        <w:t xml:space="preserve"> of</w:t>
      </w:r>
      <w:r w:rsidR="002176B6" w:rsidRPr="00830FD5">
        <w:rPr>
          <w:rFonts w:asciiTheme="minorHAnsi" w:hAnsiTheme="minorHAnsi" w:cstheme="minorHAnsi"/>
          <w:bCs/>
          <w:sz w:val="24"/>
          <w:szCs w:val="24"/>
        </w:rPr>
        <w:t xml:space="preserve"> </w:t>
      </w:r>
      <w:r w:rsidR="00EA5404">
        <w:rPr>
          <w:rFonts w:asciiTheme="minorHAnsi" w:hAnsiTheme="minorHAnsi" w:cstheme="minorHAnsi" w:hint="eastAsia"/>
          <w:bCs/>
          <w:sz w:val="24"/>
          <w:szCs w:val="24"/>
        </w:rPr>
        <w:t>e</w:t>
      </w:r>
      <w:r w:rsidR="00EA5404">
        <w:rPr>
          <w:rFonts w:asciiTheme="minorHAnsi" w:hAnsiTheme="minorHAnsi" w:cstheme="minorHAnsi"/>
          <w:bCs/>
          <w:sz w:val="24"/>
          <w:szCs w:val="24"/>
        </w:rPr>
        <w:t xml:space="preserve">lectrical </w:t>
      </w:r>
      <w:r w:rsidR="00EA5404">
        <w:rPr>
          <w:rFonts w:asciiTheme="minorHAnsi" w:hAnsiTheme="minorHAnsi" w:cstheme="minorHAnsi" w:hint="eastAsia"/>
          <w:bCs/>
          <w:sz w:val="24"/>
          <w:szCs w:val="24"/>
        </w:rPr>
        <w:t>e</w:t>
      </w:r>
      <w:bookmarkStart w:id="0" w:name="_GoBack"/>
      <w:bookmarkEnd w:id="0"/>
      <w:r w:rsidR="002176B6" w:rsidRPr="00830FD5">
        <w:rPr>
          <w:rFonts w:asciiTheme="minorHAnsi" w:hAnsiTheme="minorHAnsi" w:cstheme="minorHAnsi"/>
          <w:bCs/>
          <w:sz w:val="24"/>
          <w:szCs w:val="24"/>
        </w:rPr>
        <w:t>ngineering</w:t>
      </w:r>
      <w:r w:rsidR="00A573EF" w:rsidRPr="00830FD5">
        <w:rPr>
          <w:rFonts w:ascii="Calibri" w:hAnsi="Calibri" w:hint="eastAsia"/>
          <w:color w:val="000000" w:themeColor="text1"/>
          <w:sz w:val="24"/>
          <w:szCs w:val="24"/>
        </w:rPr>
        <w:t xml:space="preserve"> with</w:t>
      </w:r>
      <w:r w:rsidR="00A573EF" w:rsidRPr="003C49F3">
        <w:rPr>
          <w:rFonts w:ascii="Calibri" w:hAnsi="Calibri" w:hint="eastAsia"/>
          <w:color w:val="000000" w:themeColor="text1"/>
          <w:sz w:val="24"/>
          <w:szCs w:val="24"/>
        </w:rPr>
        <w:t xml:space="preserve"> </w:t>
      </w:r>
      <w:r w:rsidR="00A573EF" w:rsidRPr="003C49F3">
        <w:rPr>
          <w:rFonts w:ascii="Calibri" w:hAnsi="Calibri"/>
          <w:color w:val="000000" w:themeColor="text1"/>
          <w:sz w:val="24"/>
          <w:szCs w:val="24"/>
        </w:rPr>
        <w:t>emphasis</w:t>
      </w:r>
      <w:r w:rsidR="00A573EF" w:rsidRPr="003C49F3">
        <w:rPr>
          <w:rFonts w:ascii="Calibri" w:hAnsi="Calibri" w:hint="eastAsia"/>
          <w:color w:val="000000" w:themeColor="text1"/>
          <w:sz w:val="24"/>
          <w:szCs w:val="24"/>
        </w:rPr>
        <w:t xml:space="preserve"> on </w:t>
      </w:r>
      <w:r w:rsidR="00334065" w:rsidRPr="003C49F3">
        <w:rPr>
          <w:rFonts w:ascii="Calibri" w:hAnsi="Calibri" w:hint="eastAsia"/>
          <w:color w:val="000000" w:themeColor="text1"/>
          <w:sz w:val="24"/>
          <w:szCs w:val="24"/>
        </w:rPr>
        <w:t xml:space="preserve">circuit designs or device processes for energy </w:t>
      </w:r>
      <w:r w:rsidR="00B547F3" w:rsidRPr="003C49F3">
        <w:rPr>
          <w:rFonts w:ascii="Calibri" w:hAnsi="Calibri"/>
          <w:color w:val="000000" w:themeColor="text1"/>
          <w:sz w:val="24"/>
          <w:szCs w:val="24"/>
        </w:rPr>
        <w:t>system</w:t>
      </w:r>
      <w:r w:rsidR="00334065" w:rsidRPr="003C49F3">
        <w:rPr>
          <w:rFonts w:ascii="Calibri" w:hAnsi="Calibri" w:hint="eastAsia"/>
          <w:color w:val="000000" w:themeColor="text1"/>
          <w:sz w:val="24"/>
          <w:szCs w:val="24"/>
        </w:rPr>
        <w:t xml:space="preserve"> integration</w:t>
      </w:r>
      <w:r w:rsidR="00B547F3" w:rsidRPr="003C49F3">
        <w:rPr>
          <w:rFonts w:ascii="Calibri" w:hAnsi="Calibri"/>
          <w:color w:val="000000" w:themeColor="text1"/>
          <w:sz w:val="24"/>
          <w:szCs w:val="24"/>
        </w:rPr>
        <w:t>.</w:t>
      </w:r>
      <w:r w:rsidR="006A6112" w:rsidRPr="003C49F3">
        <w:rPr>
          <w:rFonts w:ascii="Calibri" w:hAnsi="Calibri"/>
          <w:color w:val="000000" w:themeColor="text1"/>
          <w:sz w:val="24"/>
          <w:szCs w:val="24"/>
        </w:rPr>
        <w:t xml:space="preserve"> </w:t>
      </w:r>
      <w:r w:rsidR="00B547F3" w:rsidRPr="003C49F3">
        <w:rPr>
          <w:rFonts w:ascii="Calibri" w:hAnsi="Calibri"/>
          <w:color w:val="000000" w:themeColor="text1"/>
          <w:sz w:val="24"/>
          <w:szCs w:val="24"/>
        </w:rPr>
        <w:t xml:space="preserve">Additional research expertise in </w:t>
      </w:r>
      <w:r w:rsidR="00DA4F00" w:rsidRPr="003C49F3">
        <w:rPr>
          <w:rFonts w:ascii="Calibri" w:hAnsi="Calibri"/>
          <w:color w:val="000000" w:themeColor="text1"/>
          <w:sz w:val="24"/>
          <w:szCs w:val="24"/>
        </w:rPr>
        <w:t>metrology and inspection</w:t>
      </w:r>
      <w:r w:rsidR="00DA4F00" w:rsidRPr="003C49F3">
        <w:rPr>
          <w:rFonts w:ascii="Calibri" w:hAnsi="Calibri" w:hint="eastAsia"/>
          <w:color w:val="000000" w:themeColor="text1"/>
          <w:sz w:val="24"/>
          <w:szCs w:val="24"/>
        </w:rPr>
        <w:t xml:space="preserve">, </w:t>
      </w:r>
      <w:r w:rsidR="00B547F3" w:rsidRPr="003C49F3">
        <w:rPr>
          <w:rFonts w:ascii="Calibri" w:hAnsi="Calibri"/>
          <w:color w:val="000000" w:themeColor="text1"/>
          <w:sz w:val="24"/>
          <w:szCs w:val="24"/>
        </w:rPr>
        <w:t>signal processing</w:t>
      </w:r>
      <w:r w:rsidR="00B547F3" w:rsidRPr="003C49F3">
        <w:rPr>
          <w:rFonts w:ascii="Calibri" w:hAnsi="Calibri" w:hint="eastAsia"/>
          <w:color w:val="000000" w:themeColor="text1"/>
          <w:sz w:val="24"/>
          <w:szCs w:val="24"/>
        </w:rPr>
        <w:t>,</w:t>
      </w:r>
      <w:r w:rsidR="00B547F3" w:rsidRPr="003C49F3">
        <w:rPr>
          <w:rFonts w:ascii="Calibri" w:hAnsi="Calibri"/>
          <w:color w:val="000000" w:themeColor="text1"/>
          <w:sz w:val="24"/>
          <w:szCs w:val="24"/>
        </w:rPr>
        <w:t xml:space="preserve"> electronic instrumentation, energy-efficient circuit and system design is highly preferred.</w:t>
      </w:r>
      <w:r w:rsidR="00DA4F00" w:rsidRPr="003C49F3">
        <w:rPr>
          <w:rFonts w:ascii="Calibri" w:hAnsi="Calibri" w:hint="eastAsia"/>
          <w:color w:val="000000" w:themeColor="text1"/>
          <w:sz w:val="24"/>
          <w:szCs w:val="24"/>
        </w:rPr>
        <w:t xml:space="preserve"> </w:t>
      </w:r>
      <w:r w:rsidR="00161DD9" w:rsidRPr="003C49F3">
        <w:rPr>
          <w:rFonts w:ascii="Calibri" w:hAnsi="Calibri"/>
          <w:color w:val="000000" w:themeColor="text1"/>
          <w:sz w:val="24"/>
          <w:szCs w:val="24"/>
        </w:rPr>
        <w:t>All levels of faculty position</w:t>
      </w:r>
      <w:r w:rsidR="00D259B1" w:rsidRPr="003C49F3">
        <w:rPr>
          <w:rFonts w:ascii="Calibri" w:hAnsi="Calibri"/>
          <w:color w:val="000000" w:themeColor="text1"/>
          <w:sz w:val="24"/>
          <w:szCs w:val="24"/>
        </w:rPr>
        <w:t>s</w:t>
      </w:r>
      <w:r w:rsidR="00161DD9" w:rsidRPr="003C49F3">
        <w:rPr>
          <w:rFonts w:ascii="Calibri" w:hAnsi="Calibri"/>
          <w:color w:val="000000" w:themeColor="text1"/>
          <w:sz w:val="24"/>
          <w:szCs w:val="24"/>
        </w:rPr>
        <w:t xml:space="preserve"> are available. </w:t>
      </w:r>
      <w:r w:rsidR="00CE525B" w:rsidRPr="003C49F3">
        <w:rPr>
          <w:rFonts w:ascii="Calibri" w:hAnsi="Calibri"/>
          <w:color w:val="000000" w:themeColor="text1"/>
          <w:sz w:val="24"/>
          <w:szCs w:val="24"/>
        </w:rPr>
        <w:t xml:space="preserve">The applicant </w:t>
      </w:r>
      <w:r w:rsidR="00161DD9" w:rsidRPr="003C49F3">
        <w:rPr>
          <w:rFonts w:ascii="Calibri" w:hAnsi="Calibri"/>
          <w:color w:val="000000" w:themeColor="text1"/>
          <w:sz w:val="24"/>
          <w:szCs w:val="24"/>
        </w:rPr>
        <w:t xml:space="preserve">must </w:t>
      </w:r>
      <w:r w:rsidR="006E08E4" w:rsidRPr="003C49F3">
        <w:rPr>
          <w:rFonts w:ascii="Calibri" w:hAnsi="Calibri" w:hint="eastAsia"/>
          <w:color w:val="000000" w:themeColor="text1"/>
          <w:sz w:val="24"/>
          <w:szCs w:val="24"/>
        </w:rPr>
        <w:t>hold</w:t>
      </w:r>
      <w:r w:rsidR="00161DD9" w:rsidRPr="003C49F3">
        <w:rPr>
          <w:rFonts w:ascii="Calibri" w:hAnsi="Calibri"/>
          <w:color w:val="000000" w:themeColor="text1"/>
          <w:sz w:val="24"/>
          <w:szCs w:val="24"/>
        </w:rPr>
        <w:t xml:space="preserve"> a Ph.D. </w:t>
      </w:r>
      <w:r w:rsidR="00D259B1" w:rsidRPr="003C49F3">
        <w:rPr>
          <w:rFonts w:ascii="Calibri" w:hAnsi="Calibri"/>
          <w:color w:val="000000" w:themeColor="text1"/>
          <w:sz w:val="24"/>
          <w:szCs w:val="24"/>
        </w:rPr>
        <w:t xml:space="preserve">degree </w:t>
      </w:r>
      <w:r w:rsidR="00161DD9" w:rsidRPr="003C49F3">
        <w:rPr>
          <w:rFonts w:ascii="Calibri" w:hAnsi="Calibri"/>
          <w:color w:val="000000" w:themeColor="text1"/>
          <w:sz w:val="24"/>
          <w:szCs w:val="24"/>
        </w:rPr>
        <w:t xml:space="preserve">in </w:t>
      </w:r>
      <w:r w:rsidR="00BC623B" w:rsidRPr="003C49F3">
        <w:rPr>
          <w:rFonts w:ascii="Calibri" w:hAnsi="Calibri" w:hint="eastAsia"/>
          <w:color w:val="000000" w:themeColor="text1"/>
          <w:sz w:val="24"/>
          <w:szCs w:val="24"/>
        </w:rPr>
        <w:t>engineering, applied science</w:t>
      </w:r>
      <w:r w:rsidR="00161DD9" w:rsidRPr="003C49F3">
        <w:rPr>
          <w:rFonts w:ascii="Calibri" w:hAnsi="Calibri"/>
          <w:color w:val="000000" w:themeColor="text1"/>
          <w:sz w:val="24"/>
          <w:szCs w:val="24"/>
        </w:rPr>
        <w:t>, or a closely related discipline</w:t>
      </w:r>
      <w:r w:rsidR="006E08E4" w:rsidRPr="003C49F3">
        <w:rPr>
          <w:rFonts w:ascii="Calibri" w:hAnsi="Calibri" w:hint="eastAsia"/>
          <w:color w:val="000000" w:themeColor="text1"/>
          <w:sz w:val="24"/>
          <w:szCs w:val="24"/>
        </w:rPr>
        <w:t xml:space="preserve"> and </w:t>
      </w:r>
      <w:r w:rsidR="00BC623B" w:rsidRPr="003C49F3">
        <w:rPr>
          <w:rFonts w:ascii="Calibri" w:hAnsi="Calibri" w:hint="eastAsia"/>
          <w:color w:val="000000" w:themeColor="text1"/>
          <w:sz w:val="24"/>
          <w:szCs w:val="24"/>
        </w:rPr>
        <w:t xml:space="preserve">demonstrate </w:t>
      </w:r>
      <w:r w:rsidR="00161DD9" w:rsidRPr="003C49F3">
        <w:rPr>
          <w:rFonts w:ascii="Calibri" w:hAnsi="Calibri"/>
          <w:color w:val="000000" w:themeColor="text1"/>
          <w:sz w:val="24"/>
          <w:szCs w:val="24"/>
        </w:rPr>
        <w:t>promis</w:t>
      </w:r>
      <w:r w:rsidR="00BC623B" w:rsidRPr="003C49F3">
        <w:rPr>
          <w:rFonts w:ascii="Calibri" w:hAnsi="Calibri" w:hint="eastAsia"/>
          <w:color w:val="000000" w:themeColor="text1"/>
          <w:sz w:val="24"/>
          <w:szCs w:val="24"/>
        </w:rPr>
        <w:t xml:space="preserve">ing </w:t>
      </w:r>
      <w:r w:rsidR="00161DD9" w:rsidRPr="003C49F3">
        <w:rPr>
          <w:rFonts w:ascii="Calibri" w:hAnsi="Calibri"/>
          <w:color w:val="000000" w:themeColor="text1"/>
          <w:sz w:val="24"/>
          <w:szCs w:val="24"/>
        </w:rPr>
        <w:t xml:space="preserve">excellence in research and </w:t>
      </w:r>
      <w:r w:rsidR="00CE525B" w:rsidRPr="003C49F3">
        <w:rPr>
          <w:rFonts w:ascii="Calibri" w:hAnsi="Calibri"/>
          <w:color w:val="000000" w:themeColor="text1"/>
          <w:sz w:val="24"/>
          <w:szCs w:val="24"/>
        </w:rPr>
        <w:t>teaching</w:t>
      </w:r>
      <w:r w:rsidR="00161DD9" w:rsidRPr="003C49F3">
        <w:rPr>
          <w:rFonts w:ascii="Calibri" w:hAnsi="Calibri"/>
          <w:color w:val="000000" w:themeColor="text1"/>
          <w:sz w:val="24"/>
          <w:szCs w:val="24"/>
        </w:rPr>
        <w:t>.</w:t>
      </w:r>
    </w:p>
    <w:p w:rsidR="00E83FD4" w:rsidRPr="003C49F3" w:rsidRDefault="0052417E" w:rsidP="0052417E">
      <w:pPr>
        <w:snapToGrid w:val="0"/>
        <w:spacing w:beforeLines="50" w:before="180" w:line="360" w:lineRule="auto"/>
        <w:jc w:val="both"/>
        <w:rPr>
          <w:rFonts w:ascii="Calibri" w:hAnsi="Calibri"/>
          <w:color w:val="000000" w:themeColor="text1"/>
          <w:sz w:val="24"/>
          <w:szCs w:val="24"/>
        </w:rPr>
      </w:pPr>
      <w:r w:rsidRPr="003C49F3">
        <w:rPr>
          <w:rFonts w:ascii="Calibri" w:hAnsi="Calibri"/>
          <w:color w:val="000000" w:themeColor="text1"/>
          <w:sz w:val="24"/>
          <w:szCs w:val="24"/>
        </w:rPr>
        <w:t xml:space="preserve">In addition to exercising personal expertise in research, new faculty members are advised to closely collaborate with other colleagues and would be responsible for offering both undergraduate and graduate level courses. These courses include those in basic and advanced </w:t>
      </w:r>
      <w:r w:rsidR="00334065" w:rsidRPr="003C49F3">
        <w:rPr>
          <w:rFonts w:ascii="Calibri" w:hAnsi="Calibri"/>
          <w:color w:val="000000" w:themeColor="text1"/>
          <w:sz w:val="24"/>
          <w:szCs w:val="24"/>
        </w:rPr>
        <w:t>electrical</w:t>
      </w:r>
      <w:r w:rsidR="00334065" w:rsidRPr="003C49F3">
        <w:rPr>
          <w:rFonts w:ascii="Calibri" w:hAnsi="Calibri" w:hint="eastAsia"/>
          <w:color w:val="000000" w:themeColor="text1"/>
          <w:sz w:val="24"/>
          <w:szCs w:val="24"/>
        </w:rPr>
        <w:t xml:space="preserve"> </w:t>
      </w:r>
      <w:r w:rsidRPr="003C49F3">
        <w:rPr>
          <w:rFonts w:ascii="Calibri" w:hAnsi="Calibri"/>
          <w:color w:val="000000" w:themeColor="text1"/>
          <w:sz w:val="24"/>
          <w:szCs w:val="24"/>
        </w:rPr>
        <w:t>engineering and in energy related areas</w:t>
      </w:r>
      <w:r w:rsidR="00334065" w:rsidRPr="003C49F3">
        <w:rPr>
          <w:rFonts w:ascii="Calibri" w:hAnsi="Calibri" w:hint="eastAsia"/>
          <w:color w:val="000000" w:themeColor="text1"/>
          <w:sz w:val="24"/>
          <w:szCs w:val="24"/>
        </w:rPr>
        <w:t>, such as Microelectronics, Electrical Circuit</w:t>
      </w:r>
      <w:r w:rsidR="00E83FD4" w:rsidRPr="003C49F3">
        <w:rPr>
          <w:rFonts w:ascii="Calibri" w:hAnsi="Calibri" w:hint="eastAsia"/>
          <w:color w:val="000000" w:themeColor="text1"/>
          <w:sz w:val="24"/>
          <w:szCs w:val="24"/>
        </w:rPr>
        <w:t xml:space="preserve">s, Electronics Experiments, </w:t>
      </w:r>
      <w:r w:rsidR="00E83FD4" w:rsidRPr="003C49F3">
        <w:rPr>
          <w:rFonts w:ascii="Calibri" w:hAnsi="Calibri"/>
          <w:color w:val="000000" w:themeColor="text1"/>
          <w:sz w:val="24"/>
          <w:szCs w:val="24"/>
        </w:rPr>
        <w:t>Signals and Systems</w:t>
      </w:r>
      <w:r w:rsidR="00E83FD4" w:rsidRPr="003C49F3">
        <w:rPr>
          <w:rFonts w:ascii="Calibri" w:hAnsi="Calibri" w:hint="eastAsia"/>
          <w:color w:val="000000" w:themeColor="text1"/>
          <w:sz w:val="24"/>
          <w:szCs w:val="24"/>
        </w:rPr>
        <w:t xml:space="preserve">, </w:t>
      </w:r>
      <w:r w:rsidR="00E83FD4" w:rsidRPr="003C49F3">
        <w:rPr>
          <w:rFonts w:ascii="Calibri" w:hAnsi="Calibri"/>
          <w:color w:val="000000" w:themeColor="text1"/>
          <w:sz w:val="24"/>
          <w:szCs w:val="24"/>
        </w:rPr>
        <w:t>Semiconductor Devices Physics</w:t>
      </w:r>
      <w:r w:rsidR="00E83FD4" w:rsidRPr="003C49F3">
        <w:rPr>
          <w:rFonts w:ascii="Calibri" w:hAnsi="Calibri" w:hint="eastAsia"/>
          <w:color w:val="000000" w:themeColor="text1"/>
          <w:sz w:val="24"/>
          <w:szCs w:val="24"/>
        </w:rPr>
        <w:t xml:space="preserve">, </w:t>
      </w:r>
      <w:r w:rsidR="00E83FD4" w:rsidRPr="003C49F3">
        <w:rPr>
          <w:rFonts w:ascii="Calibri" w:hAnsi="Calibri"/>
          <w:color w:val="000000" w:themeColor="text1"/>
          <w:sz w:val="24"/>
          <w:szCs w:val="24"/>
        </w:rPr>
        <w:t>Integrated Circuit Design</w:t>
      </w:r>
      <w:r w:rsidR="00E83FD4" w:rsidRPr="003C49F3">
        <w:rPr>
          <w:rFonts w:ascii="Calibri" w:hAnsi="Calibri" w:hint="eastAsia"/>
          <w:color w:val="000000" w:themeColor="text1"/>
          <w:sz w:val="24"/>
          <w:szCs w:val="24"/>
        </w:rPr>
        <w:t xml:space="preserve"> etc</w:t>
      </w:r>
      <w:r w:rsidRPr="003C49F3">
        <w:rPr>
          <w:rFonts w:ascii="Calibri" w:hAnsi="Calibri"/>
          <w:color w:val="000000" w:themeColor="text1"/>
          <w:sz w:val="24"/>
          <w:szCs w:val="24"/>
        </w:rPr>
        <w:t>. Teaching in English is required in some courses.</w:t>
      </w:r>
      <w:r w:rsidRPr="003C49F3">
        <w:rPr>
          <w:rFonts w:ascii="Calibri" w:hAnsi="Calibri" w:hint="eastAsia"/>
          <w:color w:val="000000" w:themeColor="text1"/>
          <w:sz w:val="24"/>
          <w:szCs w:val="24"/>
        </w:rPr>
        <w:t xml:space="preserve"> </w:t>
      </w:r>
    </w:p>
    <w:p w:rsidR="00DF6BA4" w:rsidRPr="003C49F3" w:rsidRDefault="00DF6BA4" w:rsidP="00AE69F0">
      <w:pPr>
        <w:snapToGrid w:val="0"/>
        <w:spacing w:beforeLines="50" w:before="180" w:line="360" w:lineRule="auto"/>
        <w:jc w:val="both"/>
        <w:rPr>
          <w:rFonts w:ascii="Calibri" w:hAnsi="Calibri"/>
          <w:color w:val="000000" w:themeColor="text1"/>
          <w:sz w:val="24"/>
          <w:szCs w:val="24"/>
        </w:rPr>
      </w:pPr>
      <w:r w:rsidRPr="003C49F3">
        <w:rPr>
          <w:rFonts w:ascii="Calibri" w:hAnsi="Calibri"/>
          <w:color w:val="000000" w:themeColor="text1"/>
          <w:sz w:val="24"/>
          <w:szCs w:val="24"/>
        </w:rPr>
        <w:t>A letter of application, curriculum vitae, a statement of research interests and plans,</w:t>
      </w:r>
      <w:r w:rsidR="003F6852" w:rsidRPr="003C49F3">
        <w:rPr>
          <w:rFonts w:ascii="Calibri" w:hAnsi="Calibri" w:hint="eastAsia"/>
          <w:color w:val="000000" w:themeColor="text1"/>
          <w:sz w:val="24"/>
          <w:szCs w:val="24"/>
        </w:rPr>
        <w:t xml:space="preserve"> </w:t>
      </w:r>
      <w:r w:rsidRPr="003C49F3">
        <w:rPr>
          <w:rFonts w:ascii="Calibri" w:hAnsi="Calibri"/>
          <w:color w:val="000000" w:themeColor="text1"/>
          <w:sz w:val="24"/>
          <w:szCs w:val="24"/>
        </w:rPr>
        <w:t xml:space="preserve"> </w:t>
      </w:r>
      <w:r w:rsidR="00A573EF" w:rsidRPr="003C49F3">
        <w:rPr>
          <w:rFonts w:ascii="Calibri" w:hAnsi="Calibri" w:hint="eastAsia"/>
          <w:color w:val="000000" w:themeColor="text1"/>
          <w:sz w:val="24"/>
          <w:szCs w:val="24"/>
        </w:rPr>
        <w:t>teaching plans,</w:t>
      </w:r>
      <w:r w:rsidRPr="003C49F3">
        <w:rPr>
          <w:rFonts w:ascii="Calibri" w:hAnsi="Calibri"/>
          <w:color w:val="000000" w:themeColor="text1"/>
          <w:sz w:val="24"/>
          <w:szCs w:val="24"/>
        </w:rPr>
        <w:t xml:space="preserve"> </w:t>
      </w:r>
      <w:r w:rsidR="00A573EF" w:rsidRPr="003C49F3">
        <w:rPr>
          <w:rFonts w:ascii="Calibri" w:hAnsi="Calibri" w:hint="eastAsia"/>
          <w:color w:val="000000" w:themeColor="text1"/>
          <w:sz w:val="24"/>
          <w:szCs w:val="24"/>
        </w:rPr>
        <w:t xml:space="preserve">a </w:t>
      </w:r>
      <w:r w:rsidRPr="003C49F3">
        <w:rPr>
          <w:rFonts w:ascii="Calibri" w:hAnsi="Calibri"/>
          <w:color w:val="000000" w:themeColor="text1"/>
          <w:sz w:val="24"/>
          <w:szCs w:val="24"/>
        </w:rPr>
        <w:t>summary of teaching evaluations</w:t>
      </w:r>
      <w:r w:rsidR="00A573EF" w:rsidRPr="003C49F3">
        <w:rPr>
          <w:rFonts w:ascii="Calibri" w:hAnsi="Calibri" w:hint="eastAsia"/>
          <w:color w:val="000000" w:themeColor="text1"/>
          <w:sz w:val="24"/>
          <w:szCs w:val="24"/>
        </w:rPr>
        <w:t xml:space="preserve"> (if available)</w:t>
      </w:r>
      <w:r w:rsidRPr="003C49F3">
        <w:rPr>
          <w:rFonts w:ascii="Calibri" w:hAnsi="Calibri"/>
          <w:color w:val="000000" w:themeColor="text1"/>
          <w:sz w:val="24"/>
          <w:szCs w:val="24"/>
        </w:rPr>
        <w:t xml:space="preserve">, and </w:t>
      </w:r>
      <w:r w:rsidR="00D35958" w:rsidRPr="003C49F3">
        <w:rPr>
          <w:rFonts w:ascii="Calibri" w:hAnsi="Calibri" w:hint="eastAsia"/>
          <w:color w:val="000000" w:themeColor="text1"/>
          <w:sz w:val="24"/>
          <w:szCs w:val="24"/>
        </w:rPr>
        <w:t xml:space="preserve">a list of </w:t>
      </w:r>
      <w:r w:rsidRPr="003C49F3">
        <w:rPr>
          <w:rFonts w:ascii="Calibri" w:hAnsi="Calibri"/>
          <w:color w:val="000000" w:themeColor="text1"/>
          <w:sz w:val="24"/>
          <w:szCs w:val="24"/>
        </w:rPr>
        <w:t>three reference</w:t>
      </w:r>
      <w:r w:rsidR="00D35958" w:rsidRPr="003C49F3">
        <w:rPr>
          <w:rFonts w:ascii="Calibri" w:hAnsi="Calibri" w:hint="eastAsia"/>
          <w:color w:val="000000" w:themeColor="text1"/>
          <w:sz w:val="24"/>
          <w:szCs w:val="24"/>
        </w:rPr>
        <w:t>s</w:t>
      </w:r>
      <w:r w:rsidR="00A64B72" w:rsidRPr="003C49F3">
        <w:rPr>
          <w:rFonts w:ascii="Calibri" w:hAnsi="Calibri" w:hint="eastAsia"/>
          <w:color w:val="000000" w:themeColor="text1"/>
          <w:sz w:val="24"/>
          <w:szCs w:val="24"/>
        </w:rPr>
        <w:t xml:space="preserve"> </w:t>
      </w:r>
      <w:r w:rsidRPr="003C49F3">
        <w:rPr>
          <w:rFonts w:ascii="Calibri" w:hAnsi="Calibri"/>
          <w:color w:val="000000" w:themeColor="text1"/>
          <w:sz w:val="24"/>
          <w:szCs w:val="24"/>
        </w:rPr>
        <w:t xml:space="preserve">should be sent before </w:t>
      </w:r>
      <w:r w:rsidR="00C7342D" w:rsidRPr="003C49F3">
        <w:rPr>
          <w:rFonts w:ascii="Calibri" w:hAnsi="Calibri" w:hint="eastAsia"/>
          <w:color w:val="000000" w:themeColor="text1"/>
          <w:sz w:val="24"/>
          <w:szCs w:val="24"/>
        </w:rPr>
        <w:t>February</w:t>
      </w:r>
      <w:r w:rsidR="00D36BC9" w:rsidRPr="003C49F3">
        <w:rPr>
          <w:rFonts w:ascii="Calibri" w:hAnsi="Calibri"/>
          <w:color w:val="000000" w:themeColor="text1"/>
          <w:sz w:val="24"/>
          <w:szCs w:val="24"/>
        </w:rPr>
        <w:t xml:space="preserve"> </w:t>
      </w:r>
      <w:r w:rsidR="00E80150" w:rsidRPr="003C49F3">
        <w:rPr>
          <w:rFonts w:ascii="Calibri" w:hAnsi="Calibri"/>
          <w:color w:val="000000" w:themeColor="text1"/>
          <w:sz w:val="24"/>
          <w:szCs w:val="24"/>
        </w:rPr>
        <w:t>21</w:t>
      </w:r>
      <w:r w:rsidR="00E80150" w:rsidRPr="003C49F3">
        <w:rPr>
          <w:rFonts w:ascii="Calibri" w:hAnsi="Calibri" w:hint="eastAsia"/>
          <w:color w:val="000000" w:themeColor="text1"/>
          <w:sz w:val="24"/>
          <w:szCs w:val="24"/>
          <w:vertAlign w:val="superscript"/>
        </w:rPr>
        <w:t>st</w:t>
      </w:r>
      <w:r w:rsidR="008C6497" w:rsidRPr="003C49F3">
        <w:rPr>
          <w:rFonts w:ascii="Calibri" w:hAnsi="Calibri" w:hint="eastAsia"/>
          <w:color w:val="000000" w:themeColor="text1"/>
          <w:sz w:val="24"/>
          <w:szCs w:val="24"/>
        </w:rPr>
        <w:t>, 201</w:t>
      </w:r>
      <w:r w:rsidR="00F03EE6" w:rsidRPr="003C49F3">
        <w:rPr>
          <w:rFonts w:ascii="Calibri" w:hAnsi="Calibri" w:hint="eastAsia"/>
          <w:color w:val="000000" w:themeColor="text1"/>
          <w:sz w:val="24"/>
          <w:szCs w:val="24"/>
        </w:rPr>
        <w:t>8</w:t>
      </w:r>
      <w:r w:rsidRPr="003C49F3">
        <w:rPr>
          <w:rFonts w:ascii="Calibri" w:hAnsi="Calibri"/>
          <w:color w:val="000000" w:themeColor="text1"/>
          <w:sz w:val="24"/>
          <w:szCs w:val="24"/>
        </w:rPr>
        <w:t xml:space="preserve">. </w:t>
      </w:r>
      <w:r w:rsidR="00D35958" w:rsidRPr="003C49F3">
        <w:rPr>
          <w:rFonts w:ascii="Calibri" w:hAnsi="Calibri" w:hint="eastAsia"/>
          <w:color w:val="000000" w:themeColor="text1"/>
          <w:sz w:val="24"/>
          <w:szCs w:val="24"/>
        </w:rPr>
        <w:t>Please note that reference letters are not required for the moment but should be readily available upon request.</w:t>
      </w:r>
      <w:r w:rsidR="00D35958" w:rsidRPr="003C49F3">
        <w:rPr>
          <w:rFonts w:ascii="Calibri" w:hAnsi="Calibri"/>
          <w:color w:val="000000" w:themeColor="text1"/>
          <w:sz w:val="24"/>
          <w:szCs w:val="24"/>
        </w:rPr>
        <w:t xml:space="preserve"> </w:t>
      </w:r>
      <w:r w:rsidRPr="003C49F3">
        <w:rPr>
          <w:rFonts w:ascii="Calibri" w:hAnsi="Calibri"/>
          <w:color w:val="000000" w:themeColor="text1"/>
          <w:sz w:val="24"/>
          <w:szCs w:val="24"/>
        </w:rPr>
        <w:t xml:space="preserve">Candidates should direct their applications to Prof. </w:t>
      </w:r>
      <w:r w:rsidR="00F03EE6" w:rsidRPr="003C49F3">
        <w:rPr>
          <w:rFonts w:ascii="Calibri" w:hAnsi="Calibri" w:hint="eastAsia"/>
          <w:color w:val="000000" w:themeColor="text1"/>
          <w:sz w:val="24"/>
          <w:szCs w:val="24"/>
        </w:rPr>
        <w:t>Wei-Keng Lin</w:t>
      </w:r>
      <w:r w:rsidR="006A6112" w:rsidRPr="003C49F3">
        <w:rPr>
          <w:rFonts w:ascii="Calibri" w:hAnsi="Calibri" w:hint="eastAsia"/>
          <w:color w:val="000000" w:themeColor="text1"/>
          <w:sz w:val="24"/>
          <w:szCs w:val="24"/>
        </w:rPr>
        <w:t xml:space="preserve"> </w:t>
      </w:r>
      <w:r w:rsidRPr="003C49F3">
        <w:rPr>
          <w:rFonts w:ascii="Calibri" w:hAnsi="Calibri"/>
          <w:color w:val="000000" w:themeColor="text1"/>
          <w:sz w:val="24"/>
          <w:szCs w:val="24"/>
        </w:rPr>
        <w:t>(</w:t>
      </w:r>
      <w:r w:rsidR="00F03EE6" w:rsidRPr="003C49F3">
        <w:rPr>
          <w:rFonts w:ascii="Calibri" w:hAnsi="Calibri" w:hint="eastAsia"/>
          <w:color w:val="000000" w:themeColor="text1"/>
          <w:sz w:val="24"/>
          <w:szCs w:val="24"/>
        </w:rPr>
        <w:t>wklin</w:t>
      </w:r>
      <w:r w:rsidRPr="003C49F3">
        <w:rPr>
          <w:rFonts w:ascii="Calibri" w:hAnsi="Calibri"/>
          <w:color w:val="000000" w:themeColor="text1"/>
          <w:sz w:val="24"/>
          <w:szCs w:val="24"/>
        </w:rPr>
        <w:t>@</w:t>
      </w:r>
      <w:r w:rsidR="00F03EE6" w:rsidRPr="003C49F3">
        <w:rPr>
          <w:rFonts w:ascii="Calibri" w:hAnsi="Calibri" w:hint="eastAsia"/>
          <w:color w:val="000000" w:themeColor="text1"/>
          <w:sz w:val="24"/>
          <w:szCs w:val="24"/>
        </w:rPr>
        <w:t>ess</w:t>
      </w:r>
      <w:r w:rsidRPr="003C49F3">
        <w:rPr>
          <w:rFonts w:ascii="Calibri" w:hAnsi="Calibri"/>
          <w:color w:val="000000" w:themeColor="text1"/>
          <w:sz w:val="24"/>
          <w:szCs w:val="24"/>
        </w:rPr>
        <w:t xml:space="preserve">.nthu.edu.tw), Chairman of </w:t>
      </w:r>
      <w:r w:rsidR="006645A5" w:rsidRPr="003C49F3">
        <w:rPr>
          <w:rFonts w:ascii="Calibri" w:hAnsi="Calibri"/>
          <w:color w:val="000000" w:themeColor="text1"/>
          <w:sz w:val="24"/>
          <w:szCs w:val="24"/>
        </w:rPr>
        <w:t xml:space="preserve">the </w:t>
      </w:r>
      <w:r w:rsidRPr="003C49F3">
        <w:rPr>
          <w:rFonts w:ascii="Calibri" w:hAnsi="Calibri"/>
          <w:color w:val="000000" w:themeColor="text1"/>
          <w:sz w:val="24"/>
          <w:szCs w:val="24"/>
        </w:rPr>
        <w:t>Department of Engineering and System Science</w:t>
      </w:r>
      <w:r w:rsidR="006645A5" w:rsidRPr="003C49F3">
        <w:rPr>
          <w:rFonts w:ascii="Calibri" w:hAnsi="Calibri"/>
          <w:color w:val="000000" w:themeColor="text1"/>
          <w:sz w:val="24"/>
          <w:szCs w:val="24"/>
        </w:rPr>
        <w:t xml:space="preserve"> at</w:t>
      </w:r>
      <w:r w:rsidRPr="003C49F3">
        <w:rPr>
          <w:rFonts w:ascii="Calibri" w:hAnsi="Calibri"/>
          <w:color w:val="000000" w:themeColor="text1"/>
          <w:sz w:val="24"/>
          <w:szCs w:val="24"/>
        </w:rPr>
        <w:t xml:space="preserve"> National Tsing Hua University, No. 101, Sec. 2, Kuang Fu Road, Hsinchu 300</w:t>
      </w:r>
      <w:r w:rsidR="006645A5" w:rsidRPr="003C49F3">
        <w:rPr>
          <w:rFonts w:ascii="Calibri" w:hAnsi="Calibri"/>
          <w:color w:val="000000" w:themeColor="text1"/>
          <w:sz w:val="24"/>
          <w:szCs w:val="24"/>
        </w:rPr>
        <w:t>13</w:t>
      </w:r>
      <w:r w:rsidRPr="003C49F3">
        <w:rPr>
          <w:rFonts w:ascii="Calibri" w:hAnsi="Calibri"/>
          <w:color w:val="000000" w:themeColor="text1"/>
          <w:sz w:val="24"/>
          <w:szCs w:val="24"/>
        </w:rPr>
        <w:t xml:space="preserve">, Taiwan. </w:t>
      </w:r>
    </w:p>
    <w:p w:rsidR="002E33C7" w:rsidRPr="006645A5" w:rsidRDefault="002E33C7" w:rsidP="00DF6BA4">
      <w:pPr>
        <w:snapToGrid w:val="0"/>
        <w:spacing w:line="360" w:lineRule="auto"/>
        <w:jc w:val="both"/>
        <w:rPr>
          <w:rFonts w:ascii="Calibri" w:hAnsi="Calibri"/>
          <w:sz w:val="24"/>
          <w:szCs w:val="24"/>
        </w:rPr>
      </w:pPr>
    </w:p>
    <w:sectPr w:rsidR="002E33C7" w:rsidRPr="006645A5" w:rsidSect="00230F0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1C" w:rsidRDefault="00875C1C" w:rsidP="00160D7B">
      <w:r>
        <w:separator/>
      </w:r>
    </w:p>
  </w:endnote>
  <w:endnote w:type="continuationSeparator" w:id="0">
    <w:p w:rsidR="00875C1C" w:rsidRDefault="00875C1C" w:rsidP="0016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1C" w:rsidRDefault="00875C1C" w:rsidP="00160D7B">
      <w:r>
        <w:separator/>
      </w:r>
    </w:p>
  </w:footnote>
  <w:footnote w:type="continuationSeparator" w:id="0">
    <w:p w:rsidR="00875C1C" w:rsidRDefault="00875C1C" w:rsidP="0016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46B"/>
    <w:multiLevelType w:val="multilevel"/>
    <w:tmpl w:val="BA00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7"/>
    <w:rsid w:val="00000451"/>
    <w:rsid w:val="00005374"/>
    <w:rsid w:val="00013EB4"/>
    <w:rsid w:val="00023334"/>
    <w:rsid w:val="00024838"/>
    <w:rsid w:val="00031937"/>
    <w:rsid w:val="00036C22"/>
    <w:rsid w:val="00044083"/>
    <w:rsid w:val="00050D9E"/>
    <w:rsid w:val="00067630"/>
    <w:rsid w:val="00077CD7"/>
    <w:rsid w:val="00093A23"/>
    <w:rsid w:val="00093E95"/>
    <w:rsid w:val="000941EA"/>
    <w:rsid w:val="00095C55"/>
    <w:rsid w:val="000B30B6"/>
    <w:rsid w:val="000C06EE"/>
    <w:rsid w:val="000C53FE"/>
    <w:rsid w:val="000D2A3C"/>
    <w:rsid w:val="000E34BC"/>
    <w:rsid w:val="00114B5E"/>
    <w:rsid w:val="00115DB1"/>
    <w:rsid w:val="00125849"/>
    <w:rsid w:val="00132C72"/>
    <w:rsid w:val="001429B4"/>
    <w:rsid w:val="00143478"/>
    <w:rsid w:val="0014489E"/>
    <w:rsid w:val="00160D7B"/>
    <w:rsid w:val="00161DD9"/>
    <w:rsid w:val="0017744E"/>
    <w:rsid w:val="001856F4"/>
    <w:rsid w:val="0018653A"/>
    <w:rsid w:val="00196A3F"/>
    <w:rsid w:val="00197A30"/>
    <w:rsid w:val="001B01DE"/>
    <w:rsid w:val="001B078F"/>
    <w:rsid w:val="001C1D4A"/>
    <w:rsid w:val="001C6E56"/>
    <w:rsid w:val="001D208C"/>
    <w:rsid w:val="001D7FF2"/>
    <w:rsid w:val="001F6BD9"/>
    <w:rsid w:val="00200F44"/>
    <w:rsid w:val="002078BF"/>
    <w:rsid w:val="002176B6"/>
    <w:rsid w:val="00217A32"/>
    <w:rsid w:val="00221308"/>
    <w:rsid w:val="002243C1"/>
    <w:rsid w:val="00226EEA"/>
    <w:rsid w:val="00230F02"/>
    <w:rsid w:val="00240859"/>
    <w:rsid w:val="0025343A"/>
    <w:rsid w:val="00255D9E"/>
    <w:rsid w:val="00276342"/>
    <w:rsid w:val="0028084C"/>
    <w:rsid w:val="00281C1F"/>
    <w:rsid w:val="00281C7F"/>
    <w:rsid w:val="0028779F"/>
    <w:rsid w:val="002937B5"/>
    <w:rsid w:val="002B137E"/>
    <w:rsid w:val="002B1D81"/>
    <w:rsid w:val="002B26D6"/>
    <w:rsid w:val="002B76C0"/>
    <w:rsid w:val="002C7E38"/>
    <w:rsid w:val="002D3884"/>
    <w:rsid w:val="002E33C7"/>
    <w:rsid w:val="002E65C1"/>
    <w:rsid w:val="002F7EF0"/>
    <w:rsid w:val="00300B04"/>
    <w:rsid w:val="00321762"/>
    <w:rsid w:val="00323321"/>
    <w:rsid w:val="00332163"/>
    <w:rsid w:val="003321FC"/>
    <w:rsid w:val="003324A0"/>
    <w:rsid w:val="00333A05"/>
    <w:rsid w:val="00334065"/>
    <w:rsid w:val="003343D9"/>
    <w:rsid w:val="00354AF4"/>
    <w:rsid w:val="00355D08"/>
    <w:rsid w:val="00371D6A"/>
    <w:rsid w:val="0037309A"/>
    <w:rsid w:val="00375186"/>
    <w:rsid w:val="00381E35"/>
    <w:rsid w:val="00386B42"/>
    <w:rsid w:val="003A7D7D"/>
    <w:rsid w:val="003C49F3"/>
    <w:rsid w:val="003C6687"/>
    <w:rsid w:val="003D3B90"/>
    <w:rsid w:val="003E2446"/>
    <w:rsid w:val="003E3115"/>
    <w:rsid w:val="003F34FE"/>
    <w:rsid w:val="003F3FD0"/>
    <w:rsid w:val="003F6852"/>
    <w:rsid w:val="003F7010"/>
    <w:rsid w:val="00413C45"/>
    <w:rsid w:val="00433F51"/>
    <w:rsid w:val="00446B92"/>
    <w:rsid w:val="00447133"/>
    <w:rsid w:val="004611FB"/>
    <w:rsid w:val="00486C1B"/>
    <w:rsid w:val="004C34DA"/>
    <w:rsid w:val="004C49FD"/>
    <w:rsid w:val="004E55A3"/>
    <w:rsid w:val="00500B77"/>
    <w:rsid w:val="00502F6E"/>
    <w:rsid w:val="00514485"/>
    <w:rsid w:val="00516AF2"/>
    <w:rsid w:val="0052417E"/>
    <w:rsid w:val="00535EAA"/>
    <w:rsid w:val="0055520C"/>
    <w:rsid w:val="00556214"/>
    <w:rsid w:val="00561BED"/>
    <w:rsid w:val="0056293A"/>
    <w:rsid w:val="00564BCC"/>
    <w:rsid w:val="005735F5"/>
    <w:rsid w:val="005850FF"/>
    <w:rsid w:val="0059593E"/>
    <w:rsid w:val="0059690A"/>
    <w:rsid w:val="005A058E"/>
    <w:rsid w:val="005A188F"/>
    <w:rsid w:val="005B06F5"/>
    <w:rsid w:val="005B13C1"/>
    <w:rsid w:val="005B783A"/>
    <w:rsid w:val="005C16E2"/>
    <w:rsid w:val="005C3492"/>
    <w:rsid w:val="005D1D1A"/>
    <w:rsid w:val="005D52CB"/>
    <w:rsid w:val="005D7B79"/>
    <w:rsid w:val="005F711A"/>
    <w:rsid w:val="0060018E"/>
    <w:rsid w:val="00601EE0"/>
    <w:rsid w:val="00621421"/>
    <w:rsid w:val="00621BE1"/>
    <w:rsid w:val="006300F4"/>
    <w:rsid w:val="006645A5"/>
    <w:rsid w:val="00696246"/>
    <w:rsid w:val="006A0FCA"/>
    <w:rsid w:val="006A1B40"/>
    <w:rsid w:val="006A6112"/>
    <w:rsid w:val="006A63EC"/>
    <w:rsid w:val="006B4CAD"/>
    <w:rsid w:val="006E08E4"/>
    <w:rsid w:val="006F0D33"/>
    <w:rsid w:val="006F7309"/>
    <w:rsid w:val="00712018"/>
    <w:rsid w:val="00713C44"/>
    <w:rsid w:val="00732815"/>
    <w:rsid w:val="0073318D"/>
    <w:rsid w:val="0073794B"/>
    <w:rsid w:val="00757ED3"/>
    <w:rsid w:val="00760A48"/>
    <w:rsid w:val="007614F7"/>
    <w:rsid w:val="00763242"/>
    <w:rsid w:val="007708BF"/>
    <w:rsid w:val="00781C60"/>
    <w:rsid w:val="007843D4"/>
    <w:rsid w:val="00784903"/>
    <w:rsid w:val="007A5149"/>
    <w:rsid w:val="007B1304"/>
    <w:rsid w:val="007B2BA4"/>
    <w:rsid w:val="007B37DA"/>
    <w:rsid w:val="007B5153"/>
    <w:rsid w:val="007C402E"/>
    <w:rsid w:val="007C5BC9"/>
    <w:rsid w:val="007E23C7"/>
    <w:rsid w:val="007F008E"/>
    <w:rsid w:val="00803592"/>
    <w:rsid w:val="00803F6B"/>
    <w:rsid w:val="0081100A"/>
    <w:rsid w:val="00814A3B"/>
    <w:rsid w:val="00824D80"/>
    <w:rsid w:val="00825EE5"/>
    <w:rsid w:val="0082696C"/>
    <w:rsid w:val="00830FD5"/>
    <w:rsid w:val="00855742"/>
    <w:rsid w:val="0086322B"/>
    <w:rsid w:val="00875C1C"/>
    <w:rsid w:val="00895D48"/>
    <w:rsid w:val="0089670C"/>
    <w:rsid w:val="008A447F"/>
    <w:rsid w:val="008B48FC"/>
    <w:rsid w:val="008C6497"/>
    <w:rsid w:val="008E541B"/>
    <w:rsid w:val="00907A64"/>
    <w:rsid w:val="0091395A"/>
    <w:rsid w:val="009219F9"/>
    <w:rsid w:val="0092667F"/>
    <w:rsid w:val="0093721E"/>
    <w:rsid w:val="00940A23"/>
    <w:rsid w:val="009435F8"/>
    <w:rsid w:val="00947D4E"/>
    <w:rsid w:val="00963012"/>
    <w:rsid w:val="00965DBF"/>
    <w:rsid w:val="009A1178"/>
    <w:rsid w:val="009A1599"/>
    <w:rsid w:val="009A73AD"/>
    <w:rsid w:val="009B22F3"/>
    <w:rsid w:val="009C6BF7"/>
    <w:rsid w:val="009D3D00"/>
    <w:rsid w:val="009E1093"/>
    <w:rsid w:val="009E7162"/>
    <w:rsid w:val="009F32E0"/>
    <w:rsid w:val="009F37F3"/>
    <w:rsid w:val="009F737F"/>
    <w:rsid w:val="00A256F3"/>
    <w:rsid w:val="00A31BAF"/>
    <w:rsid w:val="00A33E15"/>
    <w:rsid w:val="00A43D62"/>
    <w:rsid w:val="00A472B6"/>
    <w:rsid w:val="00A47CD9"/>
    <w:rsid w:val="00A5195A"/>
    <w:rsid w:val="00A573EF"/>
    <w:rsid w:val="00A62A75"/>
    <w:rsid w:val="00A63A4C"/>
    <w:rsid w:val="00A64B72"/>
    <w:rsid w:val="00A657CB"/>
    <w:rsid w:val="00A73DA3"/>
    <w:rsid w:val="00A75579"/>
    <w:rsid w:val="00A75C0C"/>
    <w:rsid w:val="00A81AF5"/>
    <w:rsid w:val="00A81BDE"/>
    <w:rsid w:val="00A8407D"/>
    <w:rsid w:val="00A93F5C"/>
    <w:rsid w:val="00AA114E"/>
    <w:rsid w:val="00AA21BB"/>
    <w:rsid w:val="00AB1638"/>
    <w:rsid w:val="00AC0216"/>
    <w:rsid w:val="00AC40B3"/>
    <w:rsid w:val="00AE69F0"/>
    <w:rsid w:val="00AF3E7C"/>
    <w:rsid w:val="00B068A9"/>
    <w:rsid w:val="00B14C08"/>
    <w:rsid w:val="00B32A49"/>
    <w:rsid w:val="00B5126E"/>
    <w:rsid w:val="00B547F3"/>
    <w:rsid w:val="00B5747E"/>
    <w:rsid w:val="00B6672B"/>
    <w:rsid w:val="00B779B8"/>
    <w:rsid w:val="00B87ED8"/>
    <w:rsid w:val="00B97EA0"/>
    <w:rsid w:val="00BA3138"/>
    <w:rsid w:val="00BA7E89"/>
    <w:rsid w:val="00BB5ED2"/>
    <w:rsid w:val="00BC2DB5"/>
    <w:rsid w:val="00BC623B"/>
    <w:rsid w:val="00BC6B2C"/>
    <w:rsid w:val="00BD504C"/>
    <w:rsid w:val="00BE1AE7"/>
    <w:rsid w:val="00BE44DD"/>
    <w:rsid w:val="00BE605F"/>
    <w:rsid w:val="00BF4DC3"/>
    <w:rsid w:val="00C1276F"/>
    <w:rsid w:val="00C14DEC"/>
    <w:rsid w:val="00C236B5"/>
    <w:rsid w:val="00C23A87"/>
    <w:rsid w:val="00C25934"/>
    <w:rsid w:val="00C30021"/>
    <w:rsid w:val="00C42B65"/>
    <w:rsid w:val="00C51BA3"/>
    <w:rsid w:val="00C7342D"/>
    <w:rsid w:val="00C764F4"/>
    <w:rsid w:val="00C8464B"/>
    <w:rsid w:val="00C8471F"/>
    <w:rsid w:val="00CA565F"/>
    <w:rsid w:val="00CB0B55"/>
    <w:rsid w:val="00CB55B1"/>
    <w:rsid w:val="00CD0024"/>
    <w:rsid w:val="00CE05A7"/>
    <w:rsid w:val="00CE525B"/>
    <w:rsid w:val="00CF04B0"/>
    <w:rsid w:val="00D048E1"/>
    <w:rsid w:val="00D14EA9"/>
    <w:rsid w:val="00D15AEA"/>
    <w:rsid w:val="00D24084"/>
    <w:rsid w:val="00D259B1"/>
    <w:rsid w:val="00D33FFE"/>
    <w:rsid w:val="00D35958"/>
    <w:rsid w:val="00D36BC9"/>
    <w:rsid w:val="00D36E9D"/>
    <w:rsid w:val="00D40215"/>
    <w:rsid w:val="00D41D54"/>
    <w:rsid w:val="00D47F97"/>
    <w:rsid w:val="00D528CD"/>
    <w:rsid w:val="00D758F5"/>
    <w:rsid w:val="00D848F0"/>
    <w:rsid w:val="00D91E4D"/>
    <w:rsid w:val="00D923B0"/>
    <w:rsid w:val="00DA4F00"/>
    <w:rsid w:val="00DA6D3B"/>
    <w:rsid w:val="00DB36E2"/>
    <w:rsid w:val="00DD34AD"/>
    <w:rsid w:val="00DE25BB"/>
    <w:rsid w:val="00DE3DFC"/>
    <w:rsid w:val="00DE7B85"/>
    <w:rsid w:val="00DF6BA4"/>
    <w:rsid w:val="00E07998"/>
    <w:rsid w:val="00E13246"/>
    <w:rsid w:val="00E15564"/>
    <w:rsid w:val="00E21BBD"/>
    <w:rsid w:val="00E42DE1"/>
    <w:rsid w:val="00E53EB2"/>
    <w:rsid w:val="00E62902"/>
    <w:rsid w:val="00E70A27"/>
    <w:rsid w:val="00E80150"/>
    <w:rsid w:val="00E83FD4"/>
    <w:rsid w:val="00E87CB9"/>
    <w:rsid w:val="00E975F3"/>
    <w:rsid w:val="00EA3750"/>
    <w:rsid w:val="00EA5404"/>
    <w:rsid w:val="00EB0567"/>
    <w:rsid w:val="00EB4747"/>
    <w:rsid w:val="00EC6080"/>
    <w:rsid w:val="00EC7B75"/>
    <w:rsid w:val="00ED0FA8"/>
    <w:rsid w:val="00ED28A2"/>
    <w:rsid w:val="00ED2BA7"/>
    <w:rsid w:val="00EE36A5"/>
    <w:rsid w:val="00EE5B60"/>
    <w:rsid w:val="00EF3DB6"/>
    <w:rsid w:val="00EF45DB"/>
    <w:rsid w:val="00F03EE6"/>
    <w:rsid w:val="00F14BCF"/>
    <w:rsid w:val="00F1592A"/>
    <w:rsid w:val="00F33585"/>
    <w:rsid w:val="00F40A83"/>
    <w:rsid w:val="00F467FF"/>
    <w:rsid w:val="00F47CC9"/>
    <w:rsid w:val="00F62D55"/>
    <w:rsid w:val="00F70372"/>
    <w:rsid w:val="00F709E3"/>
    <w:rsid w:val="00F7520B"/>
    <w:rsid w:val="00F87C02"/>
    <w:rsid w:val="00FB4756"/>
    <w:rsid w:val="00FC3AB9"/>
    <w:rsid w:val="00FD7DEE"/>
    <w:rsid w:val="00FE19BC"/>
    <w:rsid w:val="00FE1E1A"/>
    <w:rsid w:val="00FF4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D0D69"/>
  <w15:docId w15:val="{F962AC79-87E6-47A5-B479-1074B7B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C7"/>
    <w:pPr>
      <w:widowControl w:val="0"/>
    </w:pPr>
    <w:rPr>
      <w:rFonts w:eastAsia="華康中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D1D1A"/>
    <w:pPr>
      <w:widowControl/>
      <w:spacing w:before="100" w:beforeAutospacing="1" w:after="100" w:afterAutospacing="1"/>
    </w:pPr>
    <w:rPr>
      <w:rFonts w:ascii="新細明體" w:eastAsia="新細明體" w:hAnsi="新細明體" w:cs="新細明體"/>
      <w:color w:val="auto"/>
      <w:sz w:val="24"/>
      <w:szCs w:val="24"/>
    </w:rPr>
  </w:style>
  <w:style w:type="character" w:styleId="a3">
    <w:name w:val="Strong"/>
    <w:qFormat/>
    <w:rsid w:val="005D1D1A"/>
    <w:rPr>
      <w:b/>
      <w:bCs/>
    </w:rPr>
  </w:style>
  <w:style w:type="character" w:customStyle="1" w:styleId="trname">
    <w:name w:val="trname"/>
    <w:basedOn w:val="a0"/>
    <w:rsid w:val="00A93F5C"/>
  </w:style>
  <w:style w:type="paragraph" w:styleId="a4">
    <w:name w:val="Balloon Text"/>
    <w:basedOn w:val="a"/>
    <w:semiHidden/>
    <w:rsid w:val="00031937"/>
    <w:rPr>
      <w:rFonts w:ascii="Arial" w:eastAsia="新細明體" w:hAnsi="Arial"/>
      <w:sz w:val="18"/>
      <w:szCs w:val="18"/>
    </w:rPr>
  </w:style>
  <w:style w:type="paragraph" w:styleId="a5">
    <w:name w:val="header"/>
    <w:basedOn w:val="a"/>
    <w:link w:val="a6"/>
    <w:rsid w:val="00160D7B"/>
    <w:pPr>
      <w:tabs>
        <w:tab w:val="center" w:pos="4153"/>
        <w:tab w:val="right" w:pos="8306"/>
      </w:tabs>
      <w:snapToGrid w:val="0"/>
    </w:pPr>
  </w:style>
  <w:style w:type="character" w:customStyle="1" w:styleId="a6">
    <w:name w:val="頁首 字元"/>
    <w:link w:val="a5"/>
    <w:rsid w:val="00160D7B"/>
    <w:rPr>
      <w:rFonts w:eastAsia="華康中楷體"/>
      <w:color w:val="000000"/>
    </w:rPr>
  </w:style>
  <w:style w:type="paragraph" w:styleId="a7">
    <w:name w:val="footer"/>
    <w:basedOn w:val="a"/>
    <w:link w:val="a8"/>
    <w:rsid w:val="00160D7B"/>
    <w:pPr>
      <w:tabs>
        <w:tab w:val="center" w:pos="4153"/>
        <w:tab w:val="right" w:pos="8306"/>
      </w:tabs>
      <w:snapToGrid w:val="0"/>
    </w:pPr>
  </w:style>
  <w:style w:type="character" w:customStyle="1" w:styleId="a8">
    <w:name w:val="頁尾 字元"/>
    <w:link w:val="a7"/>
    <w:rsid w:val="00160D7B"/>
    <w:rPr>
      <w:rFonts w:eastAsia="華康中楷體"/>
      <w:color w:val="000000"/>
    </w:rPr>
  </w:style>
  <w:style w:type="character" w:styleId="a9">
    <w:name w:val="Emphasis"/>
    <w:qFormat/>
    <w:rsid w:val="00281C7F"/>
    <w:rPr>
      <w:b w:val="0"/>
      <w:bCs w:val="0"/>
      <w:i w:val="0"/>
      <w:iCs w:val="0"/>
      <w:color w:val="DD4B39"/>
    </w:rPr>
  </w:style>
  <w:style w:type="character" w:customStyle="1" w:styleId="st1">
    <w:name w:val="st1"/>
    <w:basedOn w:val="a0"/>
    <w:rsid w:val="0028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6870">
      <w:bodyDiv w:val="1"/>
      <w:marLeft w:val="0"/>
      <w:marRight w:val="0"/>
      <w:marTop w:val="0"/>
      <w:marBottom w:val="0"/>
      <w:divBdr>
        <w:top w:val="none" w:sz="0" w:space="0" w:color="auto"/>
        <w:left w:val="none" w:sz="0" w:space="0" w:color="auto"/>
        <w:bottom w:val="none" w:sz="0" w:space="0" w:color="auto"/>
        <w:right w:val="none" w:sz="0" w:space="0" w:color="auto"/>
      </w:divBdr>
      <w:divsChild>
        <w:div w:id="1537425637">
          <w:marLeft w:val="0"/>
          <w:marRight w:val="0"/>
          <w:marTop w:val="0"/>
          <w:marBottom w:val="0"/>
          <w:divBdr>
            <w:top w:val="none" w:sz="0" w:space="0" w:color="auto"/>
            <w:left w:val="none" w:sz="0" w:space="0" w:color="auto"/>
            <w:bottom w:val="none" w:sz="0" w:space="0" w:color="auto"/>
            <w:right w:val="none" w:sz="0" w:space="0" w:color="auto"/>
          </w:divBdr>
          <w:divsChild>
            <w:div w:id="615409010">
              <w:marLeft w:val="0"/>
              <w:marRight w:val="0"/>
              <w:marTop w:val="0"/>
              <w:marBottom w:val="0"/>
              <w:divBdr>
                <w:top w:val="none" w:sz="0" w:space="0" w:color="auto"/>
                <w:left w:val="none" w:sz="0" w:space="0" w:color="auto"/>
                <w:bottom w:val="none" w:sz="0" w:space="0" w:color="auto"/>
                <w:right w:val="none" w:sz="0" w:space="0" w:color="auto"/>
              </w:divBdr>
              <w:divsChild>
                <w:div w:id="565847183">
                  <w:marLeft w:val="0"/>
                  <w:marRight w:val="0"/>
                  <w:marTop w:val="0"/>
                  <w:marBottom w:val="0"/>
                  <w:divBdr>
                    <w:top w:val="none" w:sz="0" w:space="0" w:color="auto"/>
                    <w:left w:val="none" w:sz="0" w:space="0" w:color="auto"/>
                    <w:bottom w:val="none" w:sz="0" w:space="0" w:color="auto"/>
                    <w:right w:val="none" w:sz="0" w:space="0" w:color="auto"/>
                  </w:divBdr>
                  <w:divsChild>
                    <w:div w:id="435561779">
                      <w:marLeft w:val="0"/>
                      <w:marRight w:val="0"/>
                      <w:marTop w:val="0"/>
                      <w:marBottom w:val="0"/>
                      <w:divBdr>
                        <w:top w:val="none" w:sz="0" w:space="0" w:color="auto"/>
                        <w:left w:val="none" w:sz="0" w:space="0" w:color="auto"/>
                        <w:bottom w:val="none" w:sz="0" w:space="0" w:color="auto"/>
                        <w:right w:val="none" w:sz="0" w:space="0" w:color="auto"/>
                      </w:divBdr>
                      <w:divsChild>
                        <w:div w:id="29571000">
                          <w:marLeft w:val="0"/>
                          <w:marRight w:val="0"/>
                          <w:marTop w:val="0"/>
                          <w:marBottom w:val="0"/>
                          <w:divBdr>
                            <w:top w:val="none" w:sz="0" w:space="0" w:color="auto"/>
                            <w:left w:val="none" w:sz="0" w:space="0" w:color="auto"/>
                            <w:bottom w:val="none" w:sz="0" w:space="0" w:color="auto"/>
                            <w:right w:val="none" w:sz="0" w:space="0" w:color="auto"/>
                          </w:divBdr>
                          <w:divsChild>
                            <w:div w:id="10740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303</Words>
  <Characters>1731</Characters>
  <Application>Microsoft Office Word</Application>
  <DocSecurity>0</DocSecurity>
  <Lines>14</Lines>
  <Paragraphs>4</Paragraphs>
  <ScaleCrop>false</ScaleCrop>
  <Company>TH</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department invites applications for a tenured or a tenure track faculty position in (1) Neutron and synchrotron X-ray scattering with emphases in scattering instrumentation, scattering theory, and advanced scattering techniques (such as coherent X-ra</dc:title>
  <dc:creator>L</dc:creator>
  <cp:lastModifiedBy>ESS-Office</cp:lastModifiedBy>
  <cp:revision>6</cp:revision>
  <cp:lastPrinted>2018-01-15T07:12:00Z</cp:lastPrinted>
  <dcterms:created xsi:type="dcterms:W3CDTF">2018-01-16T06:19:00Z</dcterms:created>
  <dcterms:modified xsi:type="dcterms:W3CDTF">2018-01-19T02:29:00Z</dcterms:modified>
</cp:coreProperties>
</file>